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142" w:rsidRDefault="00FB1142"/>
    <w:p w:rsidR="00FB1142" w:rsidRDefault="00FB1142"/>
    <w:p w:rsidR="00FB1142" w:rsidRDefault="00FB1142"/>
    <w:p w:rsidR="00FB1142" w:rsidRDefault="00FB1142"/>
    <w:p w:rsidR="00FB1142" w:rsidRDefault="00FB1142"/>
    <w:p w:rsidR="00FB1142" w:rsidRDefault="00FB1142"/>
    <w:p w:rsidR="00FB1142" w:rsidRDefault="00FB1142"/>
    <w:p w:rsidR="00FB1142" w:rsidRDefault="00FB1142"/>
    <w:p w:rsidR="00FB1142" w:rsidRDefault="00FB1142"/>
    <w:p w:rsidR="00FB1142" w:rsidRPr="00197B09" w:rsidRDefault="004A5FA3" w:rsidP="00FB1142">
      <w:pPr>
        <w:spacing w:after="0" w:line="480" w:lineRule="auto"/>
        <w:jc w:val="center"/>
        <w:rPr>
          <w:rFonts w:ascii="Times New Roman" w:hAnsi="Times New Roman" w:cs="Times New Roman"/>
          <w:color w:val="000000" w:themeColor="text1"/>
          <w:sz w:val="24"/>
          <w:szCs w:val="24"/>
          <w:shd w:val="clear" w:color="auto" w:fill="FFFFFF"/>
        </w:rPr>
      </w:pPr>
      <w:r w:rsidRPr="00197B09">
        <w:rPr>
          <w:rFonts w:ascii="Times New Roman" w:hAnsi="Times New Roman" w:cs="Times New Roman"/>
          <w:color w:val="000000" w:themeColor="text1"/>
          <w:sz w:val="24"/>
          <w:szCs w:val="24"/>
          <w:shd w:val="clear" w:color="auto" w:fill="FFFFFF"/>
        </w:rPr>
        <w:t>Auditing PPE</w:t>
      </w:r>
    </w:p>
    <w:p w:rsidR="00FB1142" w:rsidRPr="00197B09" w:rsidRDefault="004A5FA3" w:rsidP="00FB1142">
      <w:pPr>
        <w:spacing w:after="0" w:line="480" w:lineRule="auto"/>
        <w:contextualSpacing/>
        <w:jc w:val="center"/>
        <w:rPr>
          <w:rFonts w:ascii="Times New Roman" w:hAnsi="Times New Roman" w:cs="Times New Roman"/>
          <w:color w:val="000000" w:themeColor="text1"/>
          <w:sz w:val="24"/>
          <w:szCs w:val="24"/>
        </w:rPr>
      </w:pPr>
      <w:r w:rsidRPr="00197B09">
        <w:rPr>
          <w:rFonts w:ascii="Times New Roman" w:eastAsia="Times New Roman" w:hAnsi="Times New Roman" w:cs="Times New Roman"/>
          <w:color w:val="000000" w:themeColor="text1"/>
          <w:sz w:val="24"/>
          <w:szCs w:val="24"/>
        </w:rPr>
        <w:t>Student</w:t>
      </w:r>
    </w:p>
    <w:p w:rsidR="00FB1142" w:rsidRPr="00197B09" w:rsidRDefault="004A5FA3" w:rsidP="00FB1142">
      <w:pPr>
        <w:spacing w:after="0" w:line="480" w:lineRule="auto"/>
        <w:contextualSpacing/>
        <w:jc w:val="center"/>
        <w:rPr>
          <w:rFonts w:ascii="Times New Roman" w:eastAsia="Times New Roman" w:hAnsi="Times New Roman" w:cs="Times New Roman"/>
          <w:color w:val="000000" w:themeColor="text1"/>
          <w:sz w:val="24"/>
          <w:szCs w:val="24"/>
        </w:rPr>
      </w:pPr>
      <w:r w:rsidRPr="00197B09">
        <w:rPr>
          <w:rFonts w:ascii="Times New Roman" w:eastAsia="Times New Roman" w:hAnsi="Times New Roman" w:cs="Times New Roman"/>
          <w:color w:val="000000" w:themeColor="text1"/>
          <w:sz w:val="24"/>
          <w:szCs w:val="24"/>
        </w:rPr>
        <w:t>Institutional</w:t>
      </w:r>
    </w:p>
    <w:p w:rsidR="00FB1142" w:rsidRPr="00197B09" w:rsidRDefault="004A5FA3" w:rsidP="00FB1142">
      <w:pPr>
        <w:spacing w:after="0" w:line="480" w:lineRule="auto"/>
        <w:contextualSpacing/>
        <w:jc w:val="center"/>
        <w:rPr>
          <w:rFonts w:ascii="Times New Roman" w:hAnsi="Times New Roman" w:cs="Times New Roman"/>
          <w:color w:val="000000" w:themeColor="text1"/>
          <w:sz w:val="24"/>
          <w:szCs w:val="24"/>
        </w:rPr>
      </w:pPr>
      <w:r w:rsidRPr="00197B09">
        <w:rPr>
          <w:rFonts w:ascii="Times New Roman" w:eastAsia="Times New Roman" w:hAnsi="Times New Roman" w:cs="Times New Roman"/>
          <w:color w:val="000000" w:themeColor="text1"/>
          <w:sz w:val="24"/>
          <w:szCs w:val="24"/>
        </w:rPr>
        <w:t>Date</w:t>
      </w:r>
    </w:p>
    <w:p w:rsidR="00FB1142" w:rsidRPr="00197B09" w:rsidRDefault="00FB1142" w:rsidP="00FB1142">
      <w:pPr>
        <w:jc w:val="center"/>
        <w:rPr>
          <w:rFonts w:ascii="Times New Roman" w:hAnsi="Times New Roman" w:cs="Times New Roman"/>
          <w:color w:val="000000" w:themeColor="text1"/>
          <w:sz w:val="24"/>
          <w:szCs w:val="24"/>
        </w:rPr>
      </w:pPr>
    </w:p>
    <w:p w:rsidR="00FB1142" w:rsidRPr="00197B09" w:rsidRDefault="00FB1142">
      <w:pPr>
        <w:rPr>
          <w:rFonts w:ascii="Times New Roman" w:hAnsi="Times New Roman" w:cs="Times New Roman"/>
          <w:color w:val="000000" w:themeColor="text1"/>
          <w:sz w:val="24"/>
          <w:szCs w:val="24"/>
        </w:rPr>
      </w:pPr>
    </w:p>
    <w:p w:rsidR="00FB1142" w:rsidRPr="00197B09" w:rsidRDefault="00FB1142">
      <w:pPr>
        <w:rPr>
          <w:rFonts w:ascii="Times New Roman" w:hAnsi="Times New Roman" w:cs="Times New Roman"/>
          <w:color w:val="000000" w:themeColor="text1"/>
          <w:sz w:val="24"/>
          <w:szCs w:val="24"/>
        </w:rPr>
      </w:pPr>
    </w:p>
    <w:p w:rsidR="00FB1142" w:rsidRPr="00197B09" w:rsidRDefault="00FB1142">
      <w:pPr>
        <w:rPr>
          <w:rFonts w:ascii="Times New Roman" w:hAnsi="Times New Roman" w:cs="Times New Roman"/>
          <w:color w:val="000000" w:themeColor="text1"/>
          <w:sz w:val="24"/>
          <w:szCs w:val="24"/>
        </w:rPr>
      </w:pPr>
    </w:p>
    <w:p w:rsidR="00FB1142" w:rsidRPr="00197B09" w:rsidRDefault="00FB1142">
      <w:pPr>
        <w:rPr>
          <w:rFonts w:ascii="Times New Roman" w:hAnsi="Times New Roman" w:cs="Times New Roman"/>
          <w:color w:val="000000" w:themeColor="text1"/>
          <w:sz w:val="24"/>
          <w:szCs w:val="24"/>
        </w:rPr>
      </w:pPr>
    </w:p>
    <w:p w:rsidR="00FB1142" w:rsidRPr="00197B09" w:rsidRDefault="00FB1142">
      <w:pPr>
        <w:rPr>
          <w:rFonts w:ascii="Times New Roman" w:hAnsi="Times New Roman" w:cs="Times New Roman"/>
          <w:color w:val="000000" w:themeColor="text1"/>
          <w:sz w:val="24"/>
          <w:szCs w:val="24"/>
        </w:rPr>
      </w:pPr>
    </w:p>
    <w:p w:rsidR="00FB1142" w:rsidRPr="00197B09" w:rsidRDefault="00FB1142">
      <w:pPr>
        <w:rPr>
          <w:rFonts w:ascii="Times New Roman" w:hAnsi="Times New Roman" w:cs="Times New Roman"/>
          <w:color w:val="000000" w:themeColor="text1"/>
          <w:sz w:val="24"/>
          <w:szCs w:val="24"/>
        </w:rPr>
      </w:pPr>
    </w:p>
    <w:p w:rsidR="00FB1142" w:rsidRPr="00197B09" w:rsidRDefault="00FB1142">
      <w:pPr>
        <w:rPr>
          <w:rFonts w:ascii="Times New Roman" w:hAnsi="Times New Roman" w:cs="Times New Roman"/>
          <w:color w:val="000000" w:themeColor="text1"/>
          <w:sz w:val="24"/>
          <w:szCs w:val="24"/>
        </w:rPr>
      </w:pPr>
    </w:p>
    <w:p w:rsidR="00FB1142" w:rsidRPr="00197B09" w:rsidRDefault="00FB1142">
      <w:pPr>
        <w:rPr>
          <w:rFonts w:ascii="Times New Roman" w:hAnsi="Times New Roman" w:cs="Times New Roman"/>
          <w:color w:val="000000" w:themeColor="text1"/>
          <w:sz w:val="24"/>
          <w:szCs w:val="24"/>
        </w:rPr>
      </w:pPr>
    </w:p>
    <w:p w:rsidR="00FB1142" w:rsidRPr="00197B09" w:rsidRDefault="00FB1142">
      <w:pPr>
        <w:rPr>
          <w:rFonts w:ascii="Times New Roman" w:hAnsi="Times New Roman" w:cs="Times New Roman"/>
          <w:color w:val="000000" w:themeColor="text1"/>
          <w:sz w:val="24"/>
          <w:szCs w:val="24"/>
        </w:rPr>
      </w:pPr>
    </w:p>
    <w:p w:rsidR="00FB1142" w:rsidRPr="00197B09" w:rsidRDefault="00FB1142">
      <w:pPr>
        <w:rPr>
          <w:rFonts w:ascii="Times New Roman" w:hAnsi="Times New Roman" w:cs="Times New Roman"/>
          <w:color w:val="000000" w:themeColor="text1"/>
          <w:sz w:val="24"/>
          <w:szCs w:val="24"/>
        </w:rPr>
      </w:pPr>
    </w:p>
    <w:p w:rsidR="00FB1142" w:rsidRPr="00197B09" w:rsidRDefault="00FB1142">
      <w:pPr>
        <w:rPr>
          <w:rFonts w:ascii="Times New Roman" w:hAnsi="Times New Roman" w:cs="Times New Roman"/>
          <w:color w:val="000000" w:themeColor="text1"/>
          <w:sz w:val="24"/>
          <w:szCs w:val="24"/>
        </w:rPr>
      </w:pPr>
    </w:p>
    <w:p w:rsidR="00FB1142" w:rsidRPr="00197B09" w:rsidRDefault="00FB1142">
      <w:pPr>
        <w:rPr>
          <w:rFonts w:ascii="Times New Roman" w:hAnsi="Times New Roman" w:cs="Times New Roman"/>
          <w:color w:val="000000" w:themeColor="text1"/>
          <w:sz w:val="24"/>
          <w:szCs w:val="24"/>
        </w:rPr>
      </w:pPr>
    </w:p>
    <w:p w:rsidR="00FB1142" w:rsidRPr="00197B09" w:rsidRDefault="00FB1142">
      <w:pPr>
        <w:rPr>
          <w:rFonts w:ascii="Times New Roman" w:hAnsi="Times New Roman" w:cs="Times New Roman"/>
          <w:color w:val="000000" w:themeColor="text1"/>
          <w:sz w:val="24"/>
          <w:szCs w:val="24"/>
        </w:rPr>
      </w:pPr>
    </w:p>
    <w:p w:rsidR="00FB1142" w:rsidRPr="00197B09" w:rsidRDefault="00FB1142">
      <w:pPr>
        <w:rPr>
          <w:rFonts w:ascii="Times New Roman" w:hAnsi="Times New Roman" w:cs="Times New Roman"/>
          <w:color w:val="000000" w:themeColor="text1"/>
          <w:sz w:val="24"/>
          <w:szCs w:val="24"/>
        </w:rPr>
      </w:pPr>
    </w:p>
    <w:p w:rsidR="00FB1142" w:rsidRPr="00197B09" w:rsidRDefault="00FB1142">
      <w:pPr>
        <w:rPr>
          <w:rFonts w:ascii="Times New Roman" w:hAnsi="Times New Roman" w:cs="Times New Roman"/>
          <w:color w:val="000000" w:themeColor="text1"/>
          <w:sz w:val="24"/>
          <w:szCs w:val="24"/>
        </w:rPr>
      </w:pPr>
    </w:p>
    <w:p w:rsidR="00FB1142" w:rsidRPr="00197B09" w:rsidRDefault="00FB1142">
      <w:pPr>
        <w:rPr>
          <w:rFonts w:ascii="Times New Roman" w:hAnsi="Times New Roman" w:cs="Times New Roman"/>
          <w:color w:val="000000" w:themeColor="text1"/>
          <w:sz w:val="24"/>
          <w:szCs w:val="24"/>
        </w:rPr>
      </w:pPr>
    </w:p>
    <w:p w:rsidR="00FB1142" w:rsidRPr="00197B09" w:rsidRDefault="004A5FA3" w:rsidP="00FB1142">
      <w:pPr>
        <w:spacing w:after="0" w:line="480" w:lineRule="auto"/>
        <w:ind w:firstLine="720"/>
        <w:jc w:val="center"/>
        <w:rPr>
          <w:rFonts w:ascii="Times New Roman" w:hAnsi="Times New Roman" w:cs="Times New Roman"/>
          <w:color w:val="000000" w:themeColor="text1"/>
          <w:sz w:val="24"/>
          <w:szCs w:val="24"/>
        </w:rPr>
      </w:pPr>
      <w:r w:rsidRPr="00197B09">
        <w:rPr>
          <w:rFonts w:ascii="Times New Roman" w:hAnsi="Times New Roman" w:cs="Times New Roman"/>
          <w:color w:val="000000" w:themeColor="text1"/>
          <w:sz w:val="24"/>
          <w:szCs w:val="24"/>
        </w:rPr>
        <w:lastRenderedPageBreak/>
        <w:t>Auditing PPE</w:t>
      </w:r>
    </w:p>
    <w:p w:rsidR="00AE3FE8" w:rsidRPr="00197B09" w:rsidRDefault="004A5FA3" w:rsidP="00FB1142">
      <w:pPr>
        <w:spacing w:after="0" w:line="480" w:lineRule="auto"/>
        <w:ind w:firstLine="720"/>
        <w:rPr>
          <w:rFonts w:ascii="Times New Roman" w:hAnsi="Times New Roman" w:cs="Times New Roman"/>
          <w:color w:val="000000" w:themeColor="text1"/>
          <w:sz w:val="24"/>
          <w:szCs w:val="24"/>
        </w:rPr>
      </w:pPr>
      <w:r w:rsidRPr="00197B09">
        <w:rPr>
          <w:rFonts w:ascii="Times New Roman" w:hAnsi="Times New Roman" w:cs="Times New Roman"/>
          <w:color w:val="000000" w:themeColor="text1"/>
          <w:sz w:val="24"/>
          <w:szCs w:val="24"/>
        </w:rPr>
        <w:t>"Audit Readiness (4)-Property, Plant and Equipment"</w:t>
      </w:r>
      <w:r w:rsidR="004028F7">
        <w:rPr>
          <w:rFonts w:ascii="Times New Roman" w:hAnsi="Times New Roman" w:cs="Times New Roman"/>
          <w:color w:val="000000" w:themeColor="text1"/>
          <w:sz w:val="24"/>
          <w:szCs w:val="24"/>
        </w:rPr>
        <w:t xml:space="preserve"> by</w:t>
      </w:r>
      <w:r w:rsidR="004028F7" w:rsidRPr="004028F7">
        <w:rPr>
          <w:rFonts w:ascii="Times New Roman" w:hAnsi="Times New Roman" w:cs="Times New Roman"/>
          <w:color w:val="000000" w:themeColor="text1"/>
          <w:sz w:val="24"/>
          <w:szCs w:val="24"/>
          <w:shd w:val="clear" w:color="auto" w:fill="FFFFFF"/>
        </w:rPr>
        <w:t xml:space="preserve"> </w:t>
      </w:r>
      <w:r w:rsidR="004028F7" w:rsidRPr="00197B09">
        <w:rPr>
          <w:rFonts w:ascii="Times New Roman" w:hAnsi="Times New Roman" w:cs="Times New Roman"/>
          <w:color w:val="000000" w:themeColor="text1"/>
          <w:sz w:val="24"/>
          <w:szCs w:val="24"/>
          <w:shd w:val="clear" w:color="auto" w:fill="FFFFFF"/>
        </w:rPr>
        <w:t>Deloitte (2020</w:t>
      </w:r>
      <w:r w:rsidR="004028F7">
        <w:rPr>
          <w:rFonts w:ascii="Times New Roman" w:hAnsi="Times New Roman" w:cs="Times New Roman"/>
          <w:color w:val="000000" w:themeColor="text1"/>
          <w:sz w:val="24"/>
          <w:szCs w:val="24"/>
          <w:shd w:val="clear" w:color="auto" w:fill="FFFFFF"/>
        </w:rPr>
        <w:t>),</w:t>
      </w:r>
      <w:r w:rsidR="004028F7">
        <w:rPr>
          <w:rFonts w:ascii="Times New Roman" w:hAnsi="Times New Roman" w:cs="Times New Roman"/>
          <w:color w:val="000000" w:themeColor="text1"/>
          <w:sz w:val="24"/>
          <w:szCs w:val="24"/>
        </w:rPr>
        <w:t xml:space="preserve"> </w:t>
      </w:r>
      <w:r w:rsidR="004028F7" w:rsidRPr="00197B09">
        <w:rPr>
          <w:rFonts w:ascii="Times New Roman" w:hAnsi="Times New Roman" w:cs="Times New Roman"/>
          <w:color w:val="000000" w:themeColor="text1"/>
          <w:sz w:val="24"/>
          <w:szCs w:val="24"/>
        </w:rPr>
        <w:t>is</w:t>
      </w:r>
      <w:r w:rsidRPr="00197B09">
        <w:rPr>
          <w:rFonts w:ascii="Times New Roman" w:hAnsi="Times New Roman" w:cs="Times New Roman"/>
          <w:color w:val="000000" w:themeColor="text1"/>
          <w:sz w:val="24"/>
          <w:szCs w:val="24"/>
        </w:rPr>
        <w:t xml:space="preserve"> a recent article that explains the process of auditing and the </w:t>
      </w:r>
      <w:r w:rsidR="00B60213" w:rsidRPr="00197B09">
        <w:rPr>
          <w:rFonts w:ascii="Times New Roman" w:hAnsi="Times New Roman" w:cs="Times New Roman"/>
          <w:color w:val="000000" w:themeColor="text1"/>
          <w:sz w:val="24"/>
          <w:szCs w:val="24"/>
        </w:rPr>
        <w:t>issues</w:t>
      </w:r>
      <w:r w:rsidRPr="00197B09">
        <w:rPr>
          <w:rFonts w:ascii="Times New Roman" w:hAnsi="Times New Roman" w:cs="Times New Roman"/>
          <w:color w:val="000000" w:themeColor="text1"/>
          <w:sz w:val="24"/>
          <w:szCs w:val="24"/>
        </w:rPr>
        <w:t xml:space="preserve"> that are related to auditing of fixed assets. The Property, Plant, and Equipment (PPE) is a scope that many external auditors refer to as an area of risk in the auditing process. The three items fall under the scope of IAS 16, which is an applicable standard in the accounting of PPE. The scope explains that tangible items: are used to produce and supply services or goods, are rented to other people, or are used for managerial purposes, and they are used more than once. The PPE categorized for sale according to IFRS 5 Non-current properties held for sale and discontinued operations are: biological properties that are used for agricultural activities and mineral reserves, including natural gas and oil</w:t>
      </w:r>
      <w:r w:rsidR="00FB1142" w:rsidRPr="00197B09">
        <w:rPr>
          <w:rFonts w:ascii="Times New Roman" w:hAnsi="Times New Roman" w:cs="Times New Roman"/>
          <w:color w:val="000000" w:themeColor="text1"/>
          <w:sz w:val="24"/>
          <w:szCs w:val="24"/>
        </w:rPr>
        <w:t xml:space="preserve"> (</w:t>
      </w:r>
      <w:r w:rsidR="00FB1142" w:rsidRPr="00197B09">
        <w:rPr>
          <w:rFonts w:ascii="Times New Roman" w:hAnsi="Times New Roman" w:cs="Times New Roman"/>
          <w:color w:val="000000" w:themeColor="text1"/>
          <w:sz w:val="24"/>
          <w:szCs w:val="24"/>
          <w:shd w:val="clear" w:color="auto" w:fill="FFFFFF"/>
        </w:rPr>
        <w:t>Deloitte, 2020)</w:t>
      </w:r>
      <w:r w:rsidRPr="00197B09">
        <w:rPr>
          <w:rFonts w:ascii="Times New Roman" w:hAnsi="Times New Roman" w:cs="Times New Roman"/>
          <w:color w:val="000000" w:themeColor="text1"/>
          <w:sz w:val="24"/>
          <w:szCs w:val="24"/>
        </w:rPr>
        <w:t xml:space="preserve">. </w:t>
      </w:r>
      <w:r w:rsidR="002866AD" w:rsidRPr="00197B09">
        <w:rPr>
          <w:rFonts w:ascii="Times New Roman" w:hAnsi="Times New Roman" w:cs="Times New Roman"/>
          <w:color w:val="000000" w:themeColor="text1"/>
          <w:sz w:val="24"/>
          <w:szCs w:val="24"/>
        </w:rPr>
        <w:t xml:space="preserve">The materiality of PPE influences the external auditors to categorize the three assets as the risk area. During the business cycle selected for auditing in a certain period, the sub-processes are evaluated. The aim of testing the sub-processes includes; accessing the fixed assets. The record of fixed assets reveals the assets that are acquired by an organization.  The acquisition of a fixed asset is also taken into account. PPE are acknowledged as property when the asset is associated with future economic benefit, and there is reliability in measuring the cost </w:t>
      </w:r>
      <w:r w:rsidRPr="00197B09">
        <w:rPr>
          <w:rFonts w:ascii="Times New Roman" w:hAnsi="Times New Roman" w:cs="Times New Roman"/>
          <w:color w:val="000000" w:themeColor="text1"/>
          <w:sz w:val="24"/>
          <w:szCs w:val="24"/>
        </w:rPr>
        <w:t>of an asset.</w:t>
      </w:r>
    </w:p>
    <w:p w:rsidR="00825FB9" w:rsidRPr="00197B09" w:rsidRDefault="004A5FA3" w:rsidP="00FB1142">
      <w:pPr>
        <w:spacing w:after="0" w:line="480" w:lineRule="auto"/>
        <w:ind w:firstLine="720"/>
        <w:rPr>
          <w:rFonts w:ascii="Times New Roman" w:hAnsi="Times New Roman" w:cs="Times New Roman"/>
          <w:color w:val="000000" w:themeColor="text1"/>
          <w:sz w:val="24"/>
          <w:szCs w:val="24"/>
        </w:rPr>
      </w:pPr>
      <w:r w:rsidRPr="00197B09">
        <w:rPr>
          <w:rFonts w:ascii="Times New Roman" w:hAnsi="Times New Roman" w:cs="Times New Roman"/>
          <w:color w:val="000000" w:themeColor="text1"/>
          <w:sz w:val="24"/>
          <w:szCs w:val="24"/>
        </w:rPr>
        <w:t xml:space="preserve">Another objective of testing the </w:t>
      </w:r>
      <w:r w:rsidR="00CB3A71" w:rsidRPr="00197B09">
        <w:rPr>
          <w:rFonts w:ascii="Times New Roman" w:hAnsi="Times New Roman" w:cs="Times New Roman"/>
          <w:color w:val="000000" w:themeColor="text1"/>
          <w:sz w:val="24"/>
          <w:szCs w:val="24"/>
        </w:rPr>
        <w:t>sub process</w:t>
      </w:r>
      <w:r w:rsidRPr="00197B09">
        <w:rPr>
          <w:rFonts w:ascii="Times New Roman" w:hAnsi="Times New Roman" w:cs="Times New Roman"/>
          <w:color w:val="000000" w:themeColor="text1"/>
          <w:sz w:val="24"/>
          <w:szCs w:val="24"/>
        </w:rPr>
        <w:t xml:space="preserve"> is the presence of fixed assets that are depreciating. Depreciating assets are acknowledged to have valid charges</w:t>
      </w:r>
      <w:r w:rsidR="00F25D9C" w:rsidRPr="00197B09">
        <w:rPr>
          <w:rFonts w:ascii="Times New Roman" w:hAnsi="Times New Roman" w:cs="Times New Roman"/>
          <w:color w:val="000000" w:themeColor="text1"/>
          <w:sz w:val="24"/>
          <w:szCs w:val="24"/>
        </w:rPr>
        <w:t xml:space="preserve">; however, the </w:t>
      </w:r>
      <w:r w:rsidRPr="00197B09">
        <w:rPr>
          <w:rFonts w:ascii="Times New Roman" w:hAnsi="Times New Roman" w:cs="Times New Roman"/>
          <w:color w:val="000000" w:themeColor="text1"/>
          <w:sz w:val="24"/>
          <w:szCs w:val="24"/>
        </w:rPr>
        <w:t>costs are calculated and recorded accurately, and the appropriate period is used to file the charges. Depreciation is defined in IAS 16:6 as the apportionment of some assets that are depreciable, such as the asset rate. To comply with IAS 16 concerning reduction, the portions of PPE should be depreciated separately</w:t>
      </w:r>
      <w:r w:rsidR="00FB1142" w:rsidRPr="00197B09">
        <w:rPr>
          <w:rFonts w:ascii="Times New Roman" w:hAnsi="Times New Roman" w:cs="Times New Roman"/>
          <w:color w:val="000000" w:themeColor="text1"/>
          <w:sz w:val="24"/>
          <w:szCs w:val="24"/>
        </w:rPr>
        <w:t xml:space="preserve"> (</w:t>
      </w:r>
      <w:r w:rsidR="00FB1142" w:rsidRPr="00197B09">
        <w:rPr>
          <w:rFonts w:ascii="Times New Roman" w:hAnsi="Times New Roman" w:cs="Times New Roman"/>
          <w:color w:val="000000" w:themeColor="text1"/>
          <w:sz w:val="24"/>
          <w:szCs w:val="24"/>
          <w:shd w:val="clear" w:color="auto" w:fill="FFFFFF"/>
        </w:rPr>
        <w:t>Deloitte, 2020)</w:t>
      </w:r>
      <w:r w:rsidRPr="00197B09">
        <w:rPr>
          <w:rFonts w:ascii="Times New Roman" w:hAnsi="Times New Roman" w:cs="Times New Roman"/>
          <w:color w:val="000000" w:themeColor="text1"/>
          <w:sz w:val="24"/>
          <w:szCs w:val="24"/>
        </w:rPr>
        <w:t xml:space="preserve">. The separation involves the cost of every depreciable asset, the residual value of every depreciable asset, and the period in which every </w:t>
      </w:r>
      <w:r w:rsidRPr="00197B09">
        <w:rPr>
          <w:rFonts w:ascii="Times New Roman" w:hAnsi="Times New Roman" w:cs="Times New Roman"/>
          <w:color w:val="000000" w:themeColor="text1"/>
          <w:sz w:val="24"/>
          <w:szCs w:val="24"/>
        </w:rPr>
        <w:lastRenderedPageBreak/>
        <w:t xml:space="preserve">component will be useful commercially. Disposing of the fixed asset is another objective </w:t>
      </w:r>
      <w:r w:rsidR="003207D2" w:rsidRPr="00197B09">
        <w:rPr>
          <w:rFonts w:ascii="Times New Roman" w:hAnsi="Times New Roman" w:cs="Times New Roman"/>
          <w:color w:val="000000" w:themeColor="text1"/>
          <w:sz w:val="24"/>
          <w:szCs w:val="24"/>
        </w:rPr>
        <w:t xml:space="preserve">for testing the </w:t>
      </w:r>
      <w:r w:rsidR="00CB3A71" w:rsidRPr="00197B09">
        <w:rPr>
          <w:rFonts w:ascii="Times New Roman" w:hAnsi="Times New Roman" w:cs="Times New Roman"/>
          <w:color w:val="000000" w:themeColor="text1"/>
          <w:sz w:val="24"/>
          <w:szCs w:val="24"/>
        </w:rPr>
        <w:t>sub process</w:t>
      </w:r>
      <w:r w:rsidR="003207D2" w:rsidRPr="00197B09">
        <w:rPr>
          <w:rFonts w:ascii="Times New Roman" w:hAnsi="Times New Roman" w:cs="Times New Roman"/>
          <w:color w:val="000000" w:themeColor="text1"/>
          <w:sz w:val="24"/>
          <w:szCs w:val="24"/>
        </w:rPr>
        <w:t xml:space="preserve">. </w:t>
      </w:r>
    </w:p>
    <w:p w:rsidR="00F858B2" w:rsidRPr="00197B09" w:rsidRDefault="004A5FA3" w:rsidP="00825FB9">
      <w:pPr>
        <w:spacing w:after="0" w:line="480" w:lineRule="auto"/>
        <w:ind w:firstLine="720"/>
        <w:rPr>
          <w:rFonts w:ascii="Times New Roman" w:hAnsi="Times New Roman" w:cs="Times New Roman"/>
          <w:color w:val="000000" w:themeColor="text1"/>
          <w:sz w:val="24"/>
          <w:szCs w:val="24"/>
        </w:rPr>
      </w:pPr>
      <w:r w:rsidRPr="00197B09">
        <w:rPr>
          <w:rFonts w:ascii="Times New Roman" w:hAnsi="Times New Roman" w:cs="Times New Roman"/>
          <w:color w:val="000000" w:themeColor="text1"/>
          <w:sz w:val="24"/>
          <w:szCs w:val="24"/>
        </w:rPr>
        <w:t xml:space="preserve">The record of disposed of fixed assets should reveal the actual </w:t>
      </w:r>
      <w:r w:rsidR="00CB3A71" w:rsidRPr="00197B09">
        <w:rPr>
          <w:rFonts w:ascii="Times New Roman" w:hAnsi="Times New Roman" w:cs="Times New Roman"/>
          <w:color w:val="000000" w:themeColor="text1"/>
          <w:sz w:val="24"/>
          <w:szCs w:val="24"/>
        </w:rPr>
        <w:t>clearances. All</w:t>
      </w:r>
      <w:r w:rsidRPr="00197B09">
        <w:rPr>
          <w:rFonts w:ascii="Times New Roman" w:hAnsi="Times New Roman" w:cs="Times New Roman"/>
          <w:color w:val="000000" w:themeColor="text1"/>
          <w:sz w:val="24"/>
          <w:szCs w:val="24"/>
        </w:rPr>
        <w:t xml:space="preserve"> disposals have to be recorded and evaluated. Th</w:t>
      </w:r>
      <w:r w:rsidR="004028F7">
        <w:rPr>
          <w:rFonts w:ascii="Times New Roman" w:hAnsi="Times New Roman" w:cs="Times New Roman"/>
          <w:color w:val="000000" w:themeColor="text1"/>
          <w:sz w:val="24"/>
          <w:szCs w:val="24"/>
        </w:rPr>
        <w:t>e calculation of the disposed</w:t>
      </w:r>
      <w:r w:rsidRPr="00197B09">
        <w:rPr>
          <w:rFonts w:ascii="Times New Roman" w:hAnsi="Times New Roman" w:cs="Times New Roman"/>
          <w:color w:val="000000" w:themeColor="text1"/>
          <w:sz w:val="24"/>
          <w:szCs w:val="24"/>
        </w:rPr>
        <w:t xml:space="preserve"> fixed assets should be done accurately and recorded. The period of placement should also be marked correctly. Also, the aim of testing involves the management of assets through the maintenance of records. The fixed assets should be safeguarded, and the documents are reviewed frequently. The registers should be managed for any valid changes</w:t>
      </w:r>
      <w:r w:rsidR="00D5156F" w:rsidRPr="00197B09">
        <w:rPr>
          <w:rFonts w:ascii="Times New Roman" w:hAnsi="Times New Roman" w:cs="Times New Roman"/>
          <w:color w:val="000000" w:themeColor="text1"/>
          <w:sz w:val="24"/>
          <w:szCs w:val="24"/>
        </w:rPr>
        <w:t>, and the</w:t>
      </w:r>
      <w:r w:rsidRPr="00197B09">
        <w:rPr>
          <w:rFonts w:ascii="Times New Roman" w:hAnsi="Times New Roman" w:cs="Times New Roman"/>
          <w:color w:val="000000" w:themeColor="text1"/>
          <w:sz w:val="24"/>
          <w:szCs w:val="24"/>
        </w:rPr>
        <w:t xml:space="preserve"> changes made in the record should be considered to ensure that they are accurate. For the objectives to be met, the auditors evaluate the registers frequently</w:t>
      </w:r>
      <w:r w:rsidR="00FB1142" w:rsidRPr="00197B09">
        <w:rPr>
          <w:rFonts w:ascii="Times New Roman" w:hAnsi="Times New Roman" w:cs="Times New Roman"/>
          <w:color w:val="000000" w:themeColor="text1"/>
          <w:sz w:val="24"/>
          <w:szCs w:val="24"/>
        </w:rPr>
        <w:t xml:space="preserve"> (</w:t>
      </w:r>
      <w:r w:rsidR="00FB1142" w:rsidRPr="00197B09">
        <w:rPr>
          <w:rFonts w:ascii="Times New Roman" w:hAnsi="Times New Roman" w:cs="Times New Roman"/>
          <w:color w:val="000000" w:themeColor="text1"/>
          <w:sz w:val="24"/>
          <w:szCs w:val="24"/>
          <w:shd w:val="clear" w:color="auto" w:fill="FFFFFF"/>
        </w:rPr>
        <w:t>Deloitte, 2020)</w:t>
      </w:r>
      <w:r w:rsidRPr="00197B09">
        <w:rPr>
          <w:rFonts w:ascii="Times New Roman" w:hAnsi="Times New Roman" w:cs="Times New Roman"/>
          <w:color w:val="000000" w:themeColor="text1"/>
          <w:sz w:val="24"/>
          <w:szCs w:val="24"/>
        </w:rPr>
        <w:t>. Also, the process of auditing is done to review the impairment of PPE. The auditors refer to IAS 36 to validate the impairment of fixed assets in the organizations. Following impairment validation compensation for the impairment is done.</w:t>
      </w:r>
    </w:p>
    <w:p w:rsidR="003207D2" w:rsidRPr="00197B09" w:rsidRDefault="004A5FA3" w:rsidP="00FB1142">
      <w:pPr>
        <w:spacing w:after="0" w:line="480" w:lineRule="auto"/>
        <w:ind w:firstLine="720"/>
        <w:rPr>
          <w:rFonts w:ascii="Times New Roman" w:hAnsi="Times New Roman" w:cs="Times New Roman"/>
          <w:color w:val="000000" w:themeColor="text1"/>
          <w:sz w:val="24"/>
          <w:szCs w:val="24"/>
        </w:rPr>
      </w:pPr>
      <w:r w:rsidRPr="00197B09">
        <w:rPr>
          <w:rFonts w:ascii="Times New Roman" w:hAnsi="Times New Roman" w:cs="Times New Roman"/>
          <w:color w:val="000000" w:themeColor="text1"/>
          <w:sz w:val="24"/>
          <w:szCs w:val="24"/>
        </w:rPr>
        <w:t xml:space="preserve">This article has helped me learn the main </w:t>
      </w:r>
      <w:r w:rsidR="00F03B45" w:rsidRPr="00197B09">
        <w:rPr>
          <w:rFonts w:ascii="Times New Roman" w:hAnsi="Times New Roman" w:cs="Times New Roman"/>
          <w:color w:val="000000" w:themeColor="text1"/>
          <w:sz w:val="24"/>
          <w:szCs w:val="24"/>
        </w:rPr>
        <w:t>activities in the</w:t>
      </w:r>
      <w:r w:rsidRPr="00197B09">
        <w:rPr>
          <w:rFonts w:ascii="Times New Roman" w:hAnsi="Times New Roman" w:cs="Times New Roman"/>
          <w:color w:val="000000" w:themeColor="text1"/>
          <w:sz w:val="24"/>
          <w:szCs w:val="24"/>
        </w:rPr>
        <w:t xml:space="preserve"> auditing process of PPE and how it is done. This information will be crucial for enhancing my auditing job in the companies in my future employment. The article provides vital information about being ready for the auditing process concerning fixed assets. In the current world, fixed assets are significant in accounting</w:t>
      </w:r>
      <w:r w:rsidR="004028F7">
        <w:rPr>
          <w:rFonts w:ascii="Times New Roman" w:hAnsi="Times New Roman" w:cs="Times New Roman"/>
          <w:color w:val="000000" w:themeColor="text1"/>
          <w:sz w:val="24"/>
          <w:szCs w:val="24"/>
        </w:rPr>
        <w:t xml:space="preserve"> and finance</w:t>
      </w:r>
      <w:r w:rsidRPr="00197B09">
        <w:rPr>
          <w:rFonts w:ascii="Times New Roman" w:hAnsi="Times New Roman" w:cs="Times New Roman"/>
          <w:color w:val="000000" w:themeColor="text1"/>
          <w:sz w:val="24"/>
          <w:szCs w:val="24"/>
        </w:rPr>
        <w:t xml:space="preserve"> because of their longevity and value</w:t>
      </w:r>
      <w:r w:rsidR="00FB1142" w:rsidRPr="00197B09">
        <w:rPr>
          <w:rFonts w:ascii="Times New Roman" w:hAnsi="Times New Roman" w:cs="Times New Roman"/>
          <w:color w:val="000000" w:themeColor="text1"/>
          <w:sz w:val="24"/>
          <w:szCs w:val="24"/>
        </w:rPr>
        <w:t xml:space="preserve"> (</w:t>
      </w:r>
      <w:r w:rsidR="00FB1142" w:rsidRPr="00197B09">
        <w:rPr>
          <w:rFonts w:ascii="Times New Roman" w:hAnsi="Times New Roman" w:cs="Times New Roman"/>
          <w:color w:val="000000" w:themeColor="text1"/>
          <w:sz w:val="24"/>
          <w:szCs w:val="24"/>
          <w:shd w:val="clear" w:color="auto" w:fill="FFFFFF"/>
        </w:rPr>
        <w:t>Shkulipa</w:t>
      </w:r>
      <w:r w:rsidR="004028F7" w:rsidRPr="00197B09">
        <w:rPr>
          <w:rFonts w:ascii="Times New Roman" w:hAnsi="Times New Roman" w:cs="Times New Roman"/>
          <w:color w:val="000000" w:themeColor="text1"/>
          <w:sz w:val="24"/>
          <w:szCs w:val="24"/>
          <w:shd w:val="clear" w:color="auto" w:fill="FFFFFF"/>
        </w:rPr>
        <w:t>, 2018</w:t>
      </w:r>
      <w:r w:rsidR="00FB1142" w:rsidRPr="00197B09">
        <w:rPr>
          <w:rFonts w:ascii="Times New Roman" w:hAnsi="Times New Roman" w:cs="Times New Roman"/>
          <w:color w:val="000000" w:themeColor="text1"/>
          <w:sz w:val="24"/>
          <w:szCs w:val="24"/>
          <w:shd w:val="clear" w:color="auto" w:fill="FFFFFF"/>
        </w:rPr>
        <w:t>)</w:t>
      </w:r>
      <w:r w:rsidRPr="00197B09">
        <w:rPr>
          <w:rFonts w:ascii="Times New Roman" w:hAnsi="Times New Roman" w:cs="Times New Roman"/>
          <w:color w:val="000000" w:themeColor="text1"/>
          <w:sz w:val="24"/>
          <w:szCs w:val="24"/>
        </w:rPr>
        <w:t>. Therefore, firms are more concerned about their auditing, which should be done with effectiveness. I have realized that the combination of substantive and control testing is signifi</w:t>
      </w:r>
      <w:r w:rsidR="004028F7">
        <w:rPr>
          <w:rFonts w:ascii="Times New Roman" w:hAnsi="Times New Roman" w:cs="Times New Roman"/>
          <w:color w:val="000000" w:themeColor="text1"/>
          <w:sz w:val="24"/>
          <w:szCs w:val="24"/>
        </w:rPr>
        <w:t>cant in assuring PPE auditing. Also, t</w:t>
      </w:r>
      <w:r w:rsidRPr="00197B09">
        <w:rPr>
          <w:rFonts w:ascii="Times New Roman" w:hAnsi="Times New Roman" w:cs="Times New Roman"/>
          <w:color w:val="000000" w:themeColor="text1"/>
          <w:sz w:val="24"/>
          <w:szCs w:val="24"/>
        </w:rPr>
        <w:t>he article has helped in gaining knowledge about various scopes for the auditing process, which should be used as guideline</w:t>
      </w:r>
      <w:r w:rsidR="0040667A" w:rsidRPr="00197B09">
        <w:rPr>
          <w:rFonts w:ascii="Times New Roman" w:hAnsi="Times New Roman" w:cs="Times New Roman"/>
          <w:color w:val="000000" w:themeColor="text1"/>
          <w:sz w:val="24"/>
          <w:szCs w:val="24"/>
        </w:rPr>
        <w:t>s</w:t>
      </w:r>
      <w:r w:rsidRPr="00197B09">
        <w:rPr>
          <w:rFonts w:ascii="Times New Roman" w:hAnsi="Times New Roman" w:cs="Times New Roman"/>
          <w:color w:val="000000" w:themeColor="text1"/>
          <w:sz w:val="24"/>
          <w:szCs w:val="24"/>
        </w:rPr>
        <w:t xml:space="preserve"> in </w:t>
      </w:r>
      <w:r w:rsidR="0040667A" w:rsidRPr="00197B09">
        <w:rPr>
          <w:rFonts w:ascii="Times New Roman" w:hAnsi="Times New Roman" w:cs="Times New Roman"/>
          <w:color w:val="000000" w:themeColor="text1"/>
          <w:sz w:val="24"/>
          <w:szCs w:val="24"/>
        </w:rPr>
        <w:t xml:space="preserve">the </w:t>
      </w:r>
      <w:r w:rsidRPr="00197B09">
        <w:rPr>
          <w:rFonts w:ascii="Times New Roman" w:hAnsi="Times New Roman" w:cs="Times New Roman"/>
          <w:color w:val="000000" w:themeColor="text1"/>
          <w:sz w:val="24"/>
          <w:szCs w:val="24"/>
        </w:rPr>
        <w:t>auditing</w:t>
      </w:r>
      <w:r w:rsidR="0040667A" w:rsidRPr="00197B09">
        <w:rPr>
          <w:rFonts w:ascii="Times New Roman" w:hAnsi="Times New Roman" w:cs="Times New Roman"/>
          <w:color w:val="000000" w:themeColor="text1"/>
          <w:sz w:val="24"/>
          <w:szCs w:val="24"/>
        </w:rPr>
        <w:t xml:space="preserve"> process</w:t>
      </w:r>
      <w:r w:rsidRPr="00197B09">
        <w:rPr>
          <w:rFonts w:ascii="Times New Roman" w:hAnsi="Times New Roman" w:cs="Times New Roman"/>
          <w:color w:val="000000" w:themeColor="text1"/>
          <w:sz w:val="24"/>
          <w:szCs w:val="24"/>
        </w:rPr>
        <w:t>.</w:t>
      </w:r>
    </w:p>
    <w:p w:rsidR="00FB1142" w:rsidRPr="00197B09" w:rsidRDefault="00FB1142" w:rsidP="00FB1142">
      <w:pPr>
        <w:spacing w:after="0" w:line="480" w:lineRule="auto"/>
        <w:ind w:firstLine="720"/>
        <w:rPr>
          <w:rFonts w:ascii="Times New Roman" w:hAnsi="Times New Roman" w:cs="Times New Roman"/>
          <w:color w:val="000000" w:themeColor="text1"/>
          <w:sz w:val="24"/>
          <w:szCs w:val="24"/>
        </w:rPr>
      </w:pPr>
    </w:p>
    <w:p w:rsidR="00FB1142" w:rsidRPr="00197B09" w:rsidRDefault="00FB1142" w:rsidP="00FB1142">
      <w:pPr>
        <w:spacing w:after="0" w:line="480" w:lineRule="auto"/>
        <w:ind w:firstLine="720"/>
        <w:rPr>
          <w:rFonts w:ascii="Times New Roman" w:hAnsi="Times New Roman" w:cs="Times New Roman"/>
          <w:color w:val="000000" w:themeColor="text1"/>
          <w:sz w:val="24"/>
          <w:szCs w:val="24"/>
        </w:rPr>
      </w:pPr>
    </w:p>
    <w:p w:rsidR="00FB1142" w:rsidRPr="00197B09" w:rsidRDefault="00FB1142" w:rsidP="00FB1142">
      <w:pPr>
        <w:spacing w:after="0" w:line="480" w:lineRule="auto"/>
        <w:rPr>
          <w:rFonts w:ascii="Times New Roman" w:hAnsi="Times New Roman" w:cs="Times New Roman"/>
          <w:color w:val="000000" w:themeColor="text1"/>
          <w:sz w:val="24"/>
          <w:szCs w:val="24"/>
        </w:rPr>
      </w:pPr>
    </w:p>
    <w:p w:rsidR="002117DA" w:rsidRPr="00197B09" w:rsidRDefault="004A5FA3" w:rsidP="00FB1142">
      <w:pPr>
        <w:spacing w:after="0" w:line="480" w:lineRule="auto"/>
        <w:ind w:firstLine="720"/>
        <w:jc w:val="center"/>
        <w:rPr>
          <w:rFonts w:ascii="Times New Roman" w:hAnsi="Times New Roman" w:cs="Times New Roman"/>
          <w:color w:val="000000" w:themeColor="text1"/>
          <w:sz w:val="24"/>
          <w:szCs w:val="24"/>
        </w:rPr>
      </w:pPr>
      <w:r w:rsidRPr="00197B09">
        <w:rPr>
          <w:rFonts w:ascii="Times New Roman" w:hAnsi="Times New Roman" w:cs="Times New Roman"/>
          <w:color w:val="000000" w:themeColor="text1"/>
          <w:sz w:val="24"/>
          <w:szCs w:val="24"/>
        </w:rPr>
        <w:t>References</w:t>
      </w:r>
    </w:p>
    <w:p w:rsidR="002117DA" w:rsidRPr="00197B09" w:rsidRDefault="004A5FA3" w:rsidP="00FB1142">
      <w:pPr>
        <w:spacing w:after="0" w:line="480" w:lineRule="auto"/>
        <w:ind w:left="720" w:hanging="720"/>
        <w:rPr>
          <w:rFonts w:ascii="Times New Roman" w:hAnsi="Times New Roman" w:cs="Times New Roman"/>
          <w:color w:val="000000" w:themeColor="text1"/>
          <w:sz w:val="24"/>
          <w:szCs w:val="24"/>
          <w:shd w:val="clear" w:color="auto" w:fill="FFFFFF"/>
        </w:rPr>
      </w:pPr>
      <w:r w:rsidRPr="00197B09">
        <w:rPr>
          <w:rFonts w:ascii="Times New Roman" w:hAnsi="Times New Roman" w:cs="Times New Roman"/>
          <w:color w:val="000000" w:themeColor="text1"/>
          <w:sz w:val="24"/>
          <w:szCs w:val="24"/>
          <w:shd w:val="clear" w:color="auto" w:fill="FFFFFF"/>
        </w:rPr>
        <w:t xml:space="preserve">Deloitte (2020). Audit Readiness (4) - Property, Plant, and Equipment.Retrieved 20 May 2020, from </w:t>
      </w:r>
      <w:hyperlink r:id="rId6" w:history="1">
        <w:r w:rsidRPr="00197B09">
          <w:rPr>
            <w:rStyle w:val="Hyperlink"/>
            <w:rFonts w:ascii="Times New Roman" w:hAnsi="Times New Roman" w:cs="Times New Roman"/>
            <w:color w:val="000000" w:themeColor="text1"/>
            <w:sz w:val="24"/>
            <w:szCs w:val="24"/>
            <w:u w:val="none"/>
            <w:shd w:val="clear" w:color="auto" w:fill="FFFFFF"/>
          </w:rPr>
          <w:t>https://www2.deloitte.com/ng/en/pages/audit/articles/financial-reporting/audit-readiness-4-property-plant-and-equipment.html</w:t>
        </w:r>
      </w:hyperlink>
    </w:p>
    <w:p w:rsidR="00FB1142" w:rsidRPr="00197B09" w:rsidRDefault="004A5FA3" w:rsidP="00FB1142">
      <w:pPr>
        <w:spacing w:after="0" w:line="480" w:lineRule="auto"/>
        <w:ind w:left="720" w:hanging="720"/>
        <w:rPr>
          <w:rFonts w:ascii="Times New Roman" w:hAnsi="Times New Roman" w:cs="Times New Roman"/>
          <w:color w:val="000000" w:themeColor="text1"/>
          <w:sz w:val="24"/>
          <w:szCs w:val="24"/>
          <w:shd w:val="clear" w:color="auto" w:fill="FFFFFF"/>
        </w:rPr>
      </w:pPr>
      <w:r w:rsidRPr="00197B09">
        <w:rPr>
          <w:rFonts w:ascii="Times New Roman" w:hAnsi="Times New Roman" w:cs="Times New Roman"/>
          <w:color w:val="000000" w:themeColor="text1"/>
          <w:sz w:val="24"/>
          <w:szCs w:val="24"/>
          <w:shd w:val="clear" w:color="auto" w:fill="FFFFFF"/>
        </w:rPr>
        <w:t xml:space="preserve">Shkulipa, L. (2018). Analysis of the Methodology of Fixed Assets following IAS 16 "Fixed Assets" AND P(S)BU 7 "Fixed Assets": Theory and Practice. </w:t>
      </w:r>
      <w:r w:rsidRPr="00197B09">
        <w:rPr>
          <w:rFonts w:ascii="Times New Roman" w:hAnsi="Times New Roman" w:cs="Times New Roman"/>
          <w:i/>
          <w:iCs/>
          <w:color w:val="000000" w:themeColor="text1"/>
          <w:sz w:val="24"/>
          <w:szCs w:val="24"/>
          <w:shd w:val="clear" w:color="auto" w:fill="FFFFFF"/>
        </w:rPr>
        <w:t>Scientific Bulletin of The National Academy of Statistics, Accounting and Audit</w:t>
      </w:r>
      <w:r w:rsidRPr="00197B09">
        <w:rPr>
          <w:rFonts w:ascii="Times New Roman" w:hAnsi="Times New Roman" w:cs="Times New Roman"/>
          <w:color w:val="000000" w:themeColor="text1"/>
          <w:sz w:val="24"/>
          <w:szCs w:val="24"/>
          <w:shd w:val="clear" w:color="auto" w:fill="FFFFFF"/>
        </w:rPr>
        <w:t>, (4), 102-112. doi: 10.31767/nasoa.4.2018.10</w:t>
      </w:r>
    </w:p>
    <w:p w:rsidR="00FB1142" w:rsidRPr="00197B09" w:rsidRDefault="00FB1142" w:rsidP="00FB1142">
      <w:pPr>
        <w:spacing w:after="0" w:line="480" w:lineRule="auto"/>
        <w:ind w:firstLine="720"/>
        <w:rPr>
          <w:rFonts w:ascii="Times New Roman" w:hAnsi="Times New Roman" w:cs="Times New Roman"/>
          <w:color w:val="000000" w:themeColor="text1"/>
          <w:sz w:val="24"/>
          <w:szCs w:val="24"/>
          <w:shd w:val="clear" w:color="auto" w:fill="FFFFFF"/>
        </w:rPr>
      </w:pPr>
    </w:p>
    <w:p w:rsidR="002117DA" w:rsidRPr="00197B09" w:rsidRDefault="002117DA">
      <w:pPr>
        <w:rPr>
          <w:rFonts w:ascii="Times New Roman" w:hAnsi="Times New Roman" w:cs="Times New Roman"/>
          <w:color w:val="000000" w:themeColor="text1"/>
          <w:sz w:val="24"/>
          <w:szCs w:val="24"/>
          <w:shd w:val="clear" w:color="auto" w:fill="FFFFFF"/>
        </w:rPr>
      </w:pPr>
    </w:p>
    <w:p w:rsidR="002117DA" w:rsidRPr="00197B09" w:rsidRDefault="002117DA">
      <w:pPr>
        <w:rPr>
          <w:rFonts w:ascii="Times New Roman" w:hAnsi="Times New Roman" w:cs="Times New Roman"/>
          <w:color w:val="000000" w:themeColor="text1"/>
          <w:sz w:val="24"/>
          <w:szCs w:val="24"/>
        </w:rPr>
      </w:pPr>
    </w:p>
    <w:sectPr w:rsidR="002117DA" w:rsidRPr="00197B09" w:rsidSect="00FB114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57E6" w:rsidRDefault="00E857E6">
      <w:pPr>
        <w:spacing w:after="0" w:line="240" w:lineRule="auto"/>
      </w:pPr>
      <w:r>
        <w:separator/>
      </w:r>
    </w:p>
  </w:endnote>
  <w:endnote w:type="continuationSeparator" w:id="1">
    <w:p w:rsidR="00E857E6" w:rsidRDefault="00E857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57E6" w:rsidRDefault="00E857E6">
      <w:pPr>
        <w:spacing w:after="0" w:line="240" w:lineRule="auto"/>
      </w:pPr>
      <w:r>
        <w:separator/>
      </w:r>
    </w:p>
  </w:footnote>
  <w:footnote w:type="continuationSeparator" w:id="1">
    <w:p w:rsidR="00E857E6" w:rsidRDefault="00E857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142" w:rsidRDefault="004A5FA3" w:rsidP="00FB1142">
    <w:pPr>
      <w:pStyle w:val="Header"/>
    </w:pPr>
    <w:r w:rsidRPr="00FB1142">
      <w:rPr>
        <w:rFonts w:ascii="Times New Roman" w:hAnsi="Times New Roman" w:cs="Times New Roman"/>
        <w:sz w:val="24"/>
        <w:szCs w:val="24"/>
      </w:rPr>
      <w:t>AUDITING PPE</w:t>
    </w:r>
    <w:sdt>
      <w:sdtPr>
        <w:rPr>
          <w:rFonts w:ascii="Times New Roman" w:hAnsi="Times New Roman" w:cs="Times New Roman"/>
          <w:sz w:val="24"/>
          <w:szCs w:val="24"/>
        </w:rPr>
        <w:id w:val="171314999"/>
        <w:docPartObj>
          <w:docPartGallery w:val="Page Numbers (Top of Page)"/>
          <w:docPartUnique/>
        </w:docPartObj>
      </w:sdtPr>
      <w:sdtEndPr>
        <w:rPr>
          <w:rFonts w:asciiTheme="minorHAnsi" w:hAnsiTheme="minorHAnsi" w:cstheme="minorBidi"/>
          <w:noProof/>
          <w:sz w:val="22"/>
          <w:szCs w:val="22"/>
        </w:rPr>
      </w:sdtEndPr>
      <w:sdtContent>
        <w:r w:rsidR="004028F7">
          <w:rPr>
            <w:rFonts w:ascii="Times New Roman" w:hAnsi="Times New Roman" w:cs="Times New Roman"/>
            <w:sz w:val="24"/>
            <w:szCs w:val="24"/>
          </w:rPr>
          <w:t xml:space="preserve">                                                                                                                     </w:t>
        </w:r>
        <w:r w:rsidR="007A03A6" w:rsidRPr="00FB1142">
          <w:rPr>
            <w:rFonts w:ascii="Times New Roman" w:hAnsi="Times New Roman" w:cs="Times New Roman"/>
            <w:sz w:val="24"/>
            <w:szCs w:val="24"/>
          </w:rPr>
          <w:fldChar w:fldCharType="begin"/>
        </w:r>
        <w:r w:rsidRPr="00FB1142">
          <w:rPr>
            <w:rFonts w:ascii="Times New Roman" w:hAnsi="Times New Roman" w:cs="Times New Roman"/>
            <w:sz w:val="24"/>
            <w:szCs w:val="24"/>
          </w:rPr>
          <w:instrText xml:space="preserve"> PAGE   \* MERGEFORMAT </w:instrText>
        </w:r>
        <w:r w:rsidR="007A03A6" w:rsidRPr="00FB1142">
          <w:rPr>
            <w:rFonts w:ascii="Times New Roman" w:hAnsi="Times New Roman" w:cs="Times New Roman"/>
            <w:sz w:val="24"/>
            <w:szCs w:val="24"/>
          </w:rPr>
          <w:fldChar w:fldCharType="separate"/>
        </w:r>
        <w:r w:rsidR="00CB3A71">
          <w:rPr>
            <w:rFonts w:ascii="Times New Roman" w:hAnsi="Times New Roman" w:cs="Times New Roman"/>
            <w:noProof/>
            <w:sz w:val="24"/>
            <w:szCs w:val="24"/>
          </w:rPr>
          <w:t>4</w:t>
        </w:r>
        <w:r w:rsidR="007A03A6" w:rsidRPr="00FB1142">
          <w:rPr>
            <w:rFonts w:ascii="Times New Roman" w:hAnsi="Times New Roman" w:cs="Times New Roman"/>
            <w:noProof/>
            <w:sz w:val="24"/>
            <w:szCs w:val="24"/>
          </w:rPr>
          <w:fldChar w:fldCharType="end"/>
        </w:r>
        <w:r w:rsidR="004028F7">
          <w:rPr>
            <w:rFonts w:ascii="Times New Roman" w:hAnsi="Times New Roman" w:cs="Times New Roman"/>
            <w:noProof/>
            <w:sz w:val="24"/>
            <w:szCs w:val="24"/>
          </w:rPr>
          <w:t xml:space="preserve"> </w:t>
        </w:r>
      </w:sdtContent>
    </w:sdt>
  </w:p>
  <w:p w:rsidR="00FB1142" w:rsidRDefault="00FB114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142" w:rsidRDefault="004A5FA3" w:rsidP="00FB1142">
    <w:pPr>
      <w:pStyle w:val="Header"/>
    </w:pPr>
    <w:r w:rsidRPr="00FB1142">
      <w:rPr>
        <w:rFonts w:ascii="Times New Roman" w:hAnsi="Times New Roman" w:cs="Times New Roman"/>
        <w:sz w:val="24"/>
        <w:szCs w:val="24"/>
      </w:rPr>
      <w:t>Running head: AUDITING</w:t>
    </w:r>
    <w:sdt>
      <w:sdtPr>
        <w:rPr>
          <w:rFonts w:ascii="Times New Roman" w:hAnsi="Times New Roman" w:cs="Times New Roman"/>
          <w:sz w:val="24"/>
          <w:szCs w:val="24"/>
        </w:rPr>
        <w:id w:val="-232475067"/>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 xml:space="preserve"> PPE                                                                                   </w:t>
        </w:r>
        <w:r w:rsidR="007A03A6" w:rsidRPr="00FB1142">
          <w:rPr>
            <w:rFonts w:ascii="Times New Roman" w:hAnsi="Times New Roman" w:cs="Times New Roman"/>
            <w:sz w:val="24"/>
            <w:szCs w:val="24"/>
          </w:rPr>
          <w:fldChar w:fldCharType="begin"/>
        </w:r>
        <w:r w:rsidRPr="00FB1142">
          <w:rPr>
            <w:rFonts w:ascii="Times New Roman" w:hAnsi="Times New Roman" w:cs="Times New Roman"/>
            <w:sz w:val="24"/>
            <w:szCs w:val="24"/>
          </w:rPr>
          <w:instrText xml:space="preserve"> PAGE   \* MERGEFORMAT </w:instrText>
        </w:r>
        <w:r w:rsidR="007A03A6" w:rsidRPr="00FB1142">
          <w:rPr>
            <w:rFonts w:ascii="Times New Roman" w:hAnsi="Times New Roman" w:cs="Times New Roman"/>
            <w:sz w:val="24"/>
            <w:szCs w:val="24"/>
          </w:rPr>
          <w:fldChar w:fldCharType="separate"/>
        </w:r>
        <w:r w:rsidR="00CB3A71">
          <w:rPr>
            <w:rFonts w:ascii="Times New Roman" w:hAnsi="Times New Roman" w:cs="Times New Roman"/>
            <w:noProof/>
            <w:sz w:val="24"/>
            <w:szCs w:val="24"/>
          </w:rPr>
          <w:t>1</w:t>
        </w:r>
        <w:r w:rsidR="007A03A6" w:rsidRPr="00FB1142">
          <w:rPr>
            <w:rFonts w:ascii="Times New Roman" w:hAnsi="Times New Roman" w:cs="Times New Roman"/>
            <w:noProof/>
            <w:sz w:val="24"/>
            <w:szCs w:val="24"/>
          </w:rPr>
          <w:fldChar w:fldCharType="end"/>
        </w:r>
      </w:sdtContent>
    </w:sdt>
  </w:p>
  <w:p w:rsidR="00FB1142" w:rsidRDefault="00FB114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ExMzIxNTM2MDWwNDFR0lEKTi0uzszPAykwrgUAxXmuDSwAAAA="/>
  </w:docVars>
  <w:rsids>
    <w:rsidRoot w:val="001C4626"/>
    <w:rsid w:val="000E3212"/>
    <w:rsid w:val="00197B09"/>
    <w:rsid w:val="001C4626"/>
    <w:rsid w:val="001D149A"/>
    <w:rsid w:val="002117DA"/>
    <w:rsid w:val="002866AD"/>
    <w:rsid w:val="003207D2"/>
    <w:rsid w:val="003F4985"/>
    <w:rsid w:val="004028F7"/>
    <w:rsid w:val="0040667A"/>
    <w:rsid w:val="004A5FA3"/>
    <w:rsid w:val="00544C59"/>
    <w:rsid w:val="00687137"/>
    <w:rsid w:val="006A7BD5"/>
    <w:rsid w:val="007A03A6"/>
    <w:rsid w:val="007C59FE"/>
    <w:rsid w:val="00825FB9"/>
    <w:rsid w:val="00957A4A"/>
    <w:rsid w:val="00AE3FE8"/>
    <w:rsid w:val="00B60213"/>
    <w:rsid w:val="00CB3A71"/>
    <w:rsid w:val="00D5156F"/>
    <w:rsid w:val="00E857E6"/>
    <w:rsid w:val="00F03B45"/>
    <w:rsid w:val="00F25D9C"/>
    <w:rsid w:val="00F858B2"/>
    <w:rsid w:val="00F86822"/>
    <w:rsid w:val="00FB11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B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17DA"/>
    <w:rPr>
      <w:color w:val="0563C1" w:themeColor="hyperlink"/>
      <w:u w:val="single"/>
    </w:rPr>
  </w:style>
  <w:style w:type="character" w:customStyle="1" w:styleId="UnresolvedMention1">
    <w:name w:val="Unresolved Mention1"/>
    <w:basedOn w:val="DefaultParagraphFont"/>
    <w:uiPriority w:val="99"/>
    <w:semiHidden/>
    <w:unhideWhenUsed/>
    <w:rsid w:val="002117DA"/>
    <w:rPr>
      <w:color w:val="605E5C"/>
      <w:shd w:val="clear" w:color="auto" w:fill="E1DFDD"/>
    </w:rPr>
  </w:style>
  <w:style w:type="paragraph" w:styleId="Header">
    <w:name w:val="header"/>
    <w:basedOn w:val="Normal"/>
    <w:link w:val="HeaderChar"/>
    <w:uiPriority w:val="99"/>
    <w:unhideWhenUsed/>
    <w:rsid w:val="00FB11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1142"/>
  </w:style>
  <w:style w:type="paragraph" w:styleId="Footer">
    <w:name w:val="footer"/>
    <w:basedOn w:val="Normal"/>
    <w:link w:val="FooterChar"/>
    <w:uiPriority w:val="99"/>
    <w:unhideWhenUsed/>
    <w:rsid w:val="00FB11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114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2.deloitte.com/ng/en/pages/audit/articles/financial-reporting/audit-readiness-4-property-plant-and-equipment.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2020-05-20T19:11:00Z</dcterms:created>
  <dcterms:modified xsi:type="dcterms:W3CDTF">2020-05-20T19:11:00Z</dcterms:modified>
</cp:coreProperties>
</file>